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BA98589" w14:textId="77777777" w:rsidR="00B509A2" w:rsidRPr="00B509A2" w:rsidRDefault="00B509A2" w:rsidP="00B509A2">
      <w:r w:rsidRPr="00B509A2">
        <w:t xml:space="preserve">The table depicted below lists the different components that comprise a contract along with examples of each. </w:t>
      </w:r>
    </w:p>
    <w:p w14:paraId="21749CCE" w14:textId="77777777" w:rsidR="00B509A2" w:rsidRPr="00B509A2" w:rsidRDefault="00B509A2" w:rsidP="00B509A2"/>
    <w:p w14:paraId="11B061FB" w14:textId="77777777" w:rsidR="00B509A2" w:rsidRPr="00B509A2" w:rsidRDefault="00B509A2" w:rsidP="00B509A2">
      <w:r w:rsidRPr="00B509A2">
        <w:t xml:space="preserve">The Contract Specialist shall consider these elements when developing a contract to avoid contradictions between the RFP, Bidder’s proposal, clarifications, and negotiation agreements. </w:t>
      </w:r>
    </w:p>
    <w:p w14:paraId="36AB972D" w14:textId="77777777" w:rsidR="00B509A2" w:rsidRPr="00B509A2" w:rsidRDefault="00B509A2" w:rsidP="00B509A2"/>
    <w:p w14:paraId="6FD36DA4" w14:textId="77777777" w:rsidR="00B509A2" w:rsidRPr="00B509A2" w:rsidRDefault="00B509A2" w:rsidP="00B509A2">
      <w:r w:rsidRPr="00B509A2">
        <w:t xml:space="preserve">The areas outlined in this checklist are usually discussed with the successful Bidder during the negotiation or pre-execution phase. This checklist is not intended to be a definite or comprehensive list.  </w:t>
      </w:r>
    </w:p>
    <w:p w14:paraId="1D2213AF" w14:textId="77777777" w:rsidR="00B509A2" w:rsidRPr="00B509A2" w:rsidRDefault="00B509A2" w:rsidP="00B509A2"/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4259"/>
        <w:gridCol w:w="2121"/>
      </w:tblGrid>
      <w:tr w:rsidR="00B509A2" w:rsidRPr="00B509A2" w14:paraId="39C58171" w14:textId="77777777" w:rsidTr="00F916B3">
        <w:trPr>
          <w:tblHeader/>
        </w:trPr>
        <w:tc>
          <w:tcPr>
            <w:tcW w:w="2965" w:type="dxa"/>
            <w:shd w:val="clear" w:color="auto" w:fill="C6D9F1" w:themeFill="text2" w:themeFillTint="33"/>
          </w:tcPr>
          <w:p w14:paraId="3F59D1A7" w14:textId="77777777" w:rsidR="00B509A2" w:rsidRPr="00B509A2" w:rsidRDefault="00B509A2" w:rsidP="00B509A2">
            <w:pPr>
              <w:jc w:val="center"/>
              <w:rPr>
                <w:b/>
              </w:rPr>
            </w:pPr>
            <w:r w:rsidRPr="00B509A2">
              <w:rPr>
                <w:b/>
              </w:rPr>
              <w:t>Part of Contract</w:t>
            </w:r>
          </w:p>
        </w:tc>
        <w:tc>
          <w:tcPr>
            <w:tcW w:w="4259" w:type="dxa"/>
            <w:shd w:val="clear" w:color="auto" w:fill="C6D9F1" w:themeFill="text2" w:themeFillTint="33"/>
          </w:tcPr>
          <w:p w14:paraId="73CCCC88" w14:textId="77777777" w:rsidR="00B509A2" w:rsidRPr="00B509A2" w:rsidRDefault="00B509A2" w:rsidP="00B509A2">
            <w:pPr>
              <w:jc w:val="center"/>
              <w:rPr>
                <w:b/>
              </w:rPr>
            </w:pPr>
            <w:r w:rsidRPr="00B509A2">
              <w:rPr>
                <w:b/>
              </w:rPr>
              <w:t>Example Documents</w:t>
            </w:r>
          </w:p>
        </w:tc>
        <w:tc>
          <w:tcPr>
            <w:tcW w:w="2121" w:type="dxa"/>
            <w:shd w:val="clear" w:color="auto" w:fill="C6D9F1" w:themeFill="text2" w:themeFillTint="33"/>
          </w:tcPr>
          <w:p w14:paraId="12CF6795" w14:textId="77777777" w:rsidR="00B509A2" w:rsidRPr="00B509A2" w:rsidRDefault="00B509A2" w:rsidP="00B509A2">
            <w:pPr>
              <w:jc w:val="center"/>
              <w:rPr>
                <w:b/>
              </w:rPr>
            </w:pPr>
            <w:r w:rsidRPr="00B509A2">
              <w:rPr>
                <w:b/>
              </w:rPr>
              <w:t xml:space="preserve">Checked/Included </w:t>
            </w:r>
          </w:p>
        </w:tc>
      </w:tr>
      <w:tr w:rsidR="00B509A2" w:rsidRPr="00B509A2" w14:paraId="53F3AC27" w14:textId="77777777" w:rsidTr="00F916B3">
        <w:tc>
          <w:tcPr>
            <w:tcW w:w="2965" w:type="dxa"/>
          </w:tcPr>
          <w:p w14:paraId="69039C5F" w14:textId="77777777" w:rsidR="00B509A2" w:rsidRPr="00B509A2" w:rsidRDefault="00B509A2" w:rsidP="00B509A2">
            <w:pPr>
              <w:jc w:val="left"/>
            </w:pPr>
            <w:r w:rsidRPr="00B509A2">
              <w:t>Contract Addenda</w:t>
            </w:r>
          </w:p>
        </w:tc>
        <w:tc>
          <w:tcPr>
            <w:tcW w:w="4259" w:type="dxa"/>
          </w:tcPr>
          <w:p w14:paraId="4A92DDED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Pre-contract documents and statements</w:t>
            </w:r>
          </w:p>
          <w:p w14:paraId="7F5898C6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Implementation plan</w:t>
            </w:r>
          </w:p>
          <w:p w14:paraId="04E9CF4E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Responsibilities &amp; tasks</w:t>
            </w:r>
          </w:p>
          <w:p w14:paraId="18C2A20E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Usage of subcontractors</w:t>
            </w:r>
          </w:p>
          <w:p w14:paraId="7DCFA7D5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 xml:space="preserve">Complete the attachments and exhibits </w:t>
            </w:r>
          </w:p>
        </w:tc>
        <w:tc>
          <w:tcPr>
            <w:tcW w:w="2121" w:type="dxa"/>
          </w:tcPr>
          <w:p w14:paraId="226691CA" w14:textId="77777777" w:rsidR="00B509A2" w:rsidRPr="00B509A2" w:rsidRDefault="00B509A2" w:rsidP="00B509A2">
            <w:pPr>
              <w:jc w:val="left"/>
            </w:pPr>
          </w:p>
        </w:tc>
      </w:tr>
      <w:tr w:rsidR="00B509A2" w:rsidRPr="00B509A2" w14:paraId="22C4E067" w14:textId="77777777" w:rsidTr="00F916B3">
        <w:tc>
          <w:tcPr>
            <w:tcW w:w="2965" w:type="dxa"/>
          </w:tcPr>
          <w:p w14:paraId="46202FBB" w14:textId="77777777" w:rsidR="00B509A2" w:rsidRPr="00B509A2" w:rsidRDefault="00B509A2" w:rsidP="00B509A2">
            <w:pPr>
              <w:jc w:val="left"/>
            </w:pPr>
            <w:r w:rsidRPr="00B509A2">
              <w:t>Terms of Contract</w:t>
            </w:r>
          </w:p>
        </w:tc>
        <w:tc>
          <w:tcPr>
            <w:tcW w:w="4259" w:type="dxa"/>
          </w:tcPr>
          <w:p w14:paraId="5BD3F16C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Initial terms of RFP</w:t>
            </w:r>
          </w:p>
          <w:p w14:paraId="6CE1A9ED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Bidder’s proposal conditions</w:t>
            </w:r>
          </w:p>
          <w:p w14:paraId="2840E64E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Elaborated conditions regarding competence and management; qualifications and quality</w:t>
            </w:r>
          </w:p>
          <w:p w14:paraId="5CD005E4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Warranties period, suitability, extent</w:t>
            </w:r>
          </w:p>
          <w:p w14:paraId="337EE793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Service level agreements</w:t>
            </w:r>
          </w:p>
          <w:p w14:paraId="2686D3E3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Performance evaluations – reward &amp; remedy</w:t>
            </w:r>
          </w:p>
        </w:tc>
        <w:tc>
          <w:tcPr>
            <w:tcW w:w="2121" w:type="dxa"/>
          </w:tcPr>
          <w:p w14:paraId="1D7B6B02" w14:textId="77777777" w:rsidR="00B509A2" w:rsidRPr="00B509A2" w:rsidRDefault="00B509A2" w:rsidP="00B509A2">
            <w:pPr>
              <w:jc w:val="left"/>
            </w:pPr>
          </w:p>
        </w:tc>
      </w:tr>
      <w:tr w:rsidR="00B509A2" w:rsidRPr="00B509A2" w14:paraId="0F4CB0C3" w14:textId="77777777" w:rsidTr="00F916B3">
        <w:tc>
          <w:tcPr>
            <w:tcW w:w="2965" w:type="dxa"/>
          </w:tcPr>
          <w:p w14:paraId="75E19D7E" w14:textId="77777777" w:rsidR="00B509A2" w:rsidRPr="00B509A2" w:rsidRDefault="00B509A2" w:rsidP="00B509A2">
            <w:pPr>
              <w:jc w:val="left"/>
            </w:pPr>
            <w:r w:rsidRPr="00B509A2">
              <w:t>Legal Terms</w:t>
            </w:r>
          </w:p>
        </w:tc>
        <w:tc>
          <w:tcPr>
            <w:tcW w:w="4259" w:type="dxa"/>
          </w:tcPr>
          <w:p w14:paraId="6B63CEF3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Conditions of contract</w:t>
            </w:r>
          </w:p>
          <w:p w14:paraId="6F073AEF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Statutory conditions</w:t>
            </w:r>
          </w:p>
          <w:p w14:paraId="036CCA01" w14:textId="2B4EF8D9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KSA Procurement Law</w:t>
            </w:r>
          </w:p>
        </w:tc>
        <w:tc>
          <w:tcPr>
            <w:tcW w:w="2121" w:type="dxa"/>
          </w:tcPr>
          <w:p w14:paraId="7F8E407B" w14:textId="77777777" w:rsidR="00B509A2" w:rsidRPr="00B509A2" w:rsidRDefault="00B509A2" w:rsidP="00B509A2">
            <w:pPr>
              <w:jc w:val="left"/>
            </w:pPr>
          </w:p>
        </w:tc>
      </w:tr>
      <w:tr w:rsidR="00B509A2" w:rsidRPr="00B509A2" w14:paraId="6BD779DF" w14:textId="77777777" w:rsidTr="00F916B3">
        <w:tc>
          <w:tcPr>
            <w:tcW w:w="2965" w:type="dxa"/>
          </w:tcPr>
          <w:p w14:paraId="0C25E8E8" w14:textId="77777777" w:rsidR="00B509A2" w:rsidRPr="00B509A2" w:rsidRDefault="00B509A2" w:rsidP="00B509A2">
            <w:pPr>
              <w:jc w:val="left"/>
            </w:pPr>
            <w:r w:rsidRPr="00B509A2">
              <w:t>Entity’s Rights</w:t>
            </w:r>
          </w:p>
        </w:tc>
        <w:tc>
          <w:tcPr>
            <w:tcW w:w="4259" w:type="dxa"/>
          </w:tcPr>
          <w:p w14:paraId="2564CB5F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Events constituting default</w:t>
            </w:r>
          </w:p>
          <w:p w14:paraId="26DAD31B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Bankruptcy</w:t>
            </w:r>
          </w:p>
          <w:p w14:paraId="33E1733F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Failure to deliver</w:t>
            </w:r>
          </w:p>
          <w:p w14:paraId="6B0F19D1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Termination of agreement</w:t>
            </w:r>
          </w:p>
          <w:p w14:paraId="3D5E5047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Liquidation of damages</w:t>
            </w:r>
          </w:p>
        </w:tc>
        <w:tc>
          <w:tcPr>
            <w:tcW w:w="2121" w:type="dxa"/>
          </w:tcPr>
          <w:p w14:paraId="663A7641" w14:textId="77777777" w:rsidR="00B509A2" w:rsidRPr="00B509A2" w:rsidRDefault="00B509A2" w:rsidP="00B509A2">
            <w:pPr>
              <w:jc w:val="left"/>
            </w:pPr>
          </w:p>
        </w:tc>
      </w:tr>
      <w:tr w:rsidR="00B509A2" w:rsidRPr="00B509A2" w14:paraId="12DEB94B" w14:textId="77777777" w:rsidTr="00F916B3">
        <w:tc>
          <w:tcPr>
            <w:tcW w:w="2965" w:type="dxa"/>
          </w:tcPr>
          <w:p w14:paraId="446B4D2F" w14:textId="77777777" w:rsidR="00B509A2" w:rsidRPr="00B509A2" w:rsidRDefault="00B509A2" w:rsidP="00B509A2">
            <w:pPr>
              <w:jc w:val="left"/>
            </w:pPr>
            <w:r w:rsidRPr="00B509A2">
              <w:t>Deliverables</w:t>
            </w:r>
          </w:p>
        </w:tc>
        <w:tc>
          <w:tcPr>
            <w:tcW w:w="4259" w:type="dxa"/>
          </w:tcPr>
          <w:p w14:paraId="637CD093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Consultancy and support services</w:t>
            </w:r>
          </w:p>
          <w:p w14:paraId="465A82B3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Documentation and reporting</w:t>
            </w:r>
          </w:p>
          <w:p w14:paraId="1954EB11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 xml:space="preserve">Value </w:t>
            </w:r>
            <w:proofErr w:type="gramStart"/>
            <w:r w:rsidRPr="00B509A2">
              <w:t>add</w:t>
            </w:r>
            <w:proofErr w:type="gramEnd"/>
            <w:r w:rsidRPr="00B509A2">
              <w:t xml:space="preserve"> and innovation</w:t>
            </w:r>
          </w:p>
          <w:p w14:paraId="69CA9D13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Help desk; operations and reporting</w:t>
            </w:r>
          </w:p>
        </w:tc>
        <w:tc>
          <w:tcPr>
            <w:tcW w:w="2121" w:type="dxa"/>
          </w:tcPr>
          <w:p w14:paraId="1CF8E10F" w14:textId="77777777" w:rsidR="00B509A2" w:rsidRPr="00B509A2" w:rsidRDefault="00B509A2" w:rsidP="00B509A2">
            <w:pPr>
              <w:jc w:val="left"/>
              <w:rPr>
                <w:rFonts w:asciiTheme="minorBidi" w:hAnsiTheme="minorBidi" w:cstheme="minorBidi"/>
              </w:rPr>
            </w:pPr>
          </w:p>
        </w:tc>
      </w:tr>
      <w:tr w:rsidR="00B509A2" w:rsidRPr="00B509A2" w14:paraId="78BB8AB7" w14:textId="77777777" w:rsidTr="00F916B3">
        <w:tc>
          <w:tcPr>
            <w:tcW w:w="2965" w:type="dxa"/>
          </w:tcPr>
          <w:p w14:paraId="0577389C" w14:textId="77777777" w:rsidR="00B509A2" w:rsidRPr="00B509A2" w:rsidRDefault="00B509A2" w:rsidP="00B509A2">
            <w:pPr>
              <w:jc w:val="left"/>
            </w:pPr>
            <w:r w:rsidRPr="00B509A2">
              <w:t>Delivery</w:t>
            </w:r>
          </w:p>
        </w:tc>
        <w:tc>
          <w:tcPr>
            <w:tcW w:w="4259" w:type="dxa"/>
          </w:tcPr>
          <w:p w14:paraId="49C35B4A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Timetable – mobilization and go live</w:t>
            </w:r>
          </w:p>
          <w:p w14:paraId="6691FC93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Response and rectification</w:t>
            </w:r>
          </w:p>
        </w:tc>
        <w:tc>
          <w:tcPr>
            <w:tcW w:w="2121" w:type="dxa"/>
          </w:tcPr>
          <w:p w14:paraId="09937350" w14:textId="77777777" w:rsidR="00B509A2" w:rsidRPr="00B509A2" w:rsidRDefault="00B509A2" w:rsidP="00B509A2">
            <w:pPr>
              <w:jc w:val="left"/>
              <w:rPr>
                <w:rFonts w:asciiTheme="minorBidi" w:hAnsiTheme="minorBidi" w:cstheme="minorBidi"/>
              </w:rPr>
            </w:pPr>
          </w:p>
        </w:tc>
      </w:tr>
      <w:tr w:rsidR="00B509A2" w:rsidRPr="00B509A2" w14:paraId="055A804C" w14:textId="77777777" w:rsidTr="00F916B3">
        <w:tc>
          <w:tcPr>
            <w:tcW w:w="2965" w:type="dxa"/>
          </w:tcPr>
          <w:p w14:paraId="4DC599B2" w14:textId="77777777" w:rsidR="00B509A2" w:rsidRPr="00B509A2" w:rsidRDefault="00B509A2" w:rsidP="00B509A2">
            <w:pPr>
              <w:jc w:val="left"/>
            </w:pPr>
            <w:r w:rsidRPr="00B509A2">
              <w:t>Adequate Performance</w:t>
            </w:r>
          </w:p>
        </w:tc>
        <w:tc>
          <w:tcPr>
            <w:tcW w:w="4259" w:type="dxa"/>
          </w:tcPr>
          <w:p w14:paraId="30A62E63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Standards; standard operating procedures</w:t>
            </w:r>
          </w:p>
          <w:p w14:paraId="724E54F1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Key performance indicators</w:t>
            </w:r>
          </w:p>
        </w:tc>
        <w:tc>
          <w:tcPr>
            <w:tcW w:w="2121" w:type="dxa"/>
          </w:tcPr>
          <w:p w14:paraId="421D9E9B" w14:textId="77777777" w:rsidR="00B509A2" w:rsidRPr="00B509A2" w:rsidRDefault="00B509A2" w:rsidP="00B509A2">
            <w:pPr>
              <w:jc w:val="left"/>
              <w:rPr>
                <w:rFonts w:asciiTheme="minorBidi" w:hAnsiTheme="minorBidi" w:cstheme="minorBidi"/>
              </w:rPr>
            </w:pPr>
          </w:p>
        </w:tc>
      </w:tr>
      <w:tr w:rsidR="00B509A2" w:rsidRPr="00B509A2" w14:paraId="0EAECA68" w14:textId="77777777" w:rsidTr="00F916B3">
        <w:tc>
          <w:tcPr>
            <w:tcW w:w="2965" w:type="dxa"/>
          </w:tcPr>
          <w:p w14:paraId="7BF88ADE" w14:textId="77777777" w:rsidR="00B509A2" w:rsidRPr="00B509A2" w:rsidRDefault="00B509A2" w:rsidP="00B509A2">
            <w:pPr>
              <w:jc w:val="left"/>
            </w:pPr>
            <w:r w:rsidRPr="00B509A2">
              <w:t>Facility User Satisfaction</w:t>
            </w:r>
          </w:p>
        </w:tc>
        <w:tc>
          <w:tcPr>
            <w:tcW w:w="4259" w:type="dxa"/>
          </w:tcPr>
          <w:p w14:paraId="08F46DBF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Complaints</w:t>
            </w:r>
          </w:p>
          <w:p w14:paraId="2422FF0C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Customer Relationship Management (CRM)</w:t>
            </w:r>
          </w:p>
        </w:tc>
        <w:tc>
          <w:tcPr>
            <w:tcW w:w="2121" w:type="dxa"/>
          </w:tcPr>
          <w:p w14:paraId="6D9F2DD9" w14:textId="77777777" w:rsidR="00B509A2" w:rsidRPr="00B509A2" w:rsidRDefault="00B509A2" w:rsidP="00B509A2">
            <w:pPr>
              <w:jc w:val="left"/>
              <w:rPr>
                <w:rFonts w:asciiTheme="minorBidi" w:hAnsiTheme="minorBidi" w:cstheme="minorBidi"/>
              </w:rPr>
            </w:pPr>
          </w:p>
        </w:tc>
      </w:tr>
      <w:tr w:rsidR="00B509A2" w:rsidRPr="00B509A2" w14:paraId="756B0B73" w14:textId="77777777" w:rsidTr="00F916B3">
        <w:tc>
          <w:tcPr>
            <w:tcW w:w="2965" w:type="dxa"/>
          </w:tcPr>
          <w:p w14:paraId="6297B2E6" w14:textId="77777777" w:rsidR="00B509A2" w:rsidRPr="00B509A2" w:rsidRDefault="00B509A2" w:rsidP="00B509A2">
            <w:pPr>
              <w:jc w:val="left"/>
            </w:pPr>
            <w:r w:rsidRPr="00B509A2">
              <w:t>Asset Preservation</w:t>
            </w:r>
          </w:p>
        </w:tc>
        <w:tc>
          <w:tcPr>
            <w:tcW w:w="4259" w:type="dxa"/>
          </w:tcPr>
          <w:p w14:paraId="70B70774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Maintenance schedules</w:t>
            </w:r>
          </w:p>
          <w:p w14:paraId="38A5EE8B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Condition assessment and reporting</w:t>
            </w:r>
          </w:p>
          <w:p w14:paraId="50BD18A5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Inspections and testing</w:t>
            </w:r>
          </w:p>
        </w:tc>
        <w:tc>
          <w:tcPr>
            <w:tcW w:w="2121" w:type="dxa"/>
          </w:tcPr>
          <w:p w14:paraId="01675D18" w14:textId="77777777" w:rsidR="00B509A2" w:rsidRPr="00B509A2" w:rsidRDefault="00B509A2" w:rsidP="00B509A2">
            <w:pPr>
              <w:jc w:val="left"/>
              <w:rPr>
                <w:rFonts w:asciiTheme="minorBidi" w:hAnsiTheme="minorBidi" w:cstheme="minorBidi"/>
              </w:rPr>
            </w:pPr>
          </w:p>
        </w:tc>
      </w:tr>
      <w:tr w:rsidR="00B509A2" w:rsidRPr="00B509A2" w14:paraId="7A360FB5" w14:textId="77777777" w:rsidTr="00F916B3">
        <w:tc>
          <w:tcPr>
            <w:tcW w:w="2965" w:type="dxa"/>
          </w:tcPr>
          <w:p w14:paraId="26A341A7" w14:textId="77777777" w:rsidR="00B509A2" w:rsidRPr="00B509A2" w:rsidRDefault="00B509A2" w:rsidP="00B509A2">
            <w:pPr>
              <w:jc w:val="left"/>
            </w:pPr>
            <w:r w:rsidRPr="00B509A2">
              <w:t>Sourcing</w:t>
            </w:r>
          </w:p>
        </w:tc>
        <w:tc>
          <w:tcPr>
            <w:tcW w:w="4259" w:type="dxa"/>
          </w:tcPr>
          <w:p w14:paraId="601A60E2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Spare parts; consumables; tools; heavy equipment; materials</w:t>
            </w:r>
          </w:p>
        </w:tc>
        <w:tc>
          <w:tcPr>
            <w:tcW w:w="2121" w:type="dxa"/>
          </w:tcPr>
          <w:p w14:paraId="6F03A74C" w14:textId="77777777" w:rsidR="00B509A2" w:rsidRPr="00B509A2" w:rsidRDefault="00B509A2" w:rsidP="00B509A2">
            <w:pPr>
              <w:jc w:val="left"/>
              <w:rPr>
                <w:rFonts w:asciiTheme="minorBidi" w:hAnsiTheme="minorBidi" w:cstheme="minorBidi"/>
              </w:rPr>
            </w:pPr>
          </w:p>
        </w:tc>
      </w:tr>
      <w:tr w:rsidR="00B509A2" w:rsidRPr="00B509A2" w14:paraId="1E01E569" w14:textId="77777777" w:rsidTr="00F916B3">
        <w:tc>
          <w:tcPr>
            <w:tcW w:w="2965" w:type="dxa"/>
          </w:tcPr>
          <w:p w14:paraId="070591C3" w14:textId="77777777" w:rsidR="00B509A2" w:rsidRPr="00B509A2" w:rsidRDefault="00B509A2" w:rsidP="00B509A2">
            <w:pPr>
              <w:jc w:val="left"/>
            </w:pPr>
            <w:r w:rsidRPr="00B509A2">
              <w:t>Price</w:t>
            </w:r>
          </w:p>
        </w:tc>
        <w:tc>
          <w:tcPr>
            <w:tcW w:w="4259" w:type="dxa"/>
          </w:tcPr>
          <w:p w14:paraId="7BB594D1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Fixed cost</w:t>
            </w:r>
          </w:p>
          <w:p w14:paraId="001B11DD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Time and material costs</w:t>
            </w:r>
          </w:p>
          <w:p w14:paraId="2988E92F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Schedule of rates</w:t>
            </w:r>
          </w:p>
          <w:p w14:paraId="046675C3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lastRenderedPageBreak/>
              <w:t xml:space="preserve">Pricing basis and parameters </w:t>
            </w:r>
          </w:p>
          <w:p w14:paraId="69C078DA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 xml:space="preserve">Optional and call-off charges </w:t>
            </w:r>
          </w:p>
          <w:p w14:paraId="17E93A2F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 xml:space="preserve">Pricing of subsequent variations </w:t>
            </w:r>
          </w:p>
        </w:tc>
        <w:tc>
          <w:tcPr>
            <w:tcW w:w="2121" w:type="dxa"/>
          </w:tcPr>
          <w:p w14:paraId="6969E1A2" w14:textId="77777777" w:rsidR="00B509A2" w:rsidRPr="00B509A2" w:rsidRDefault="00B509A2" w:rsidP="00B509A2">
            <w:pPr>
              <w:jc w:val="left"/>
              <w:rPr>
                <w:rFonts w:asciiTheme="minorBidi" w:hAnsiTheme="minorBidi" w:cstheme="minorBidi"/>
              </w:rPr>
            </w:pPr>
          </w:p>
        </w:tc>
      </w:tr>
      <w:tr w:rsidR="00B509A2" w:rsidRPr="00B509A2" w14:paraId="5E97B59C" w14:textId="77777777" w:rsidTr="00F916B3">
        <w:tc>
          <w:tcPr>
            <w:tcW w:w="2965" w:type="dxa"/>
          </w:tcPr>
          <w:p w14:paraId="49CAB3A7" w14:textId="77777777" w:rsidR="00B509A2" w:rsidRPr="00B509A2" w:rsidRDefault="00B509A2" w:rsidP="00B509A2">
            <w:pPr>
              <w:jc w:val="left"/>
            </w:pPr>
            <w:r w:rsidRPr="00B509A2">
              <w:t>Payments</w:t>
            </w:r>
          </w:p>
        </w:tc>
        <w:tc>
          <w:tcPr>
            <w:tcW w:w="4259" w:type="dxa"/>
          </w:tcPr>
          <w:p w14:paraId="005AE497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Fixed dates</w:t>
            </w:r>
          </w:p>
          <w:p w14:paraId="3A001CF1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 xml:space="preserve">Progress payments </w:t>
            </w:r>
          </w:p>
          <w:p w14:paraId="31632A36" w14:textId="77777777" w:rsidR="00B509A2" w:rsidRPr="00B509A2" w:rsidRDefault="00B509A2" w:rsidP="00B509A2">
            <w:pPr>
              <w:numPr>
                <w:ilvl w:val="0"/>
                <w:numId w:val="38"/>
              </w:numPr>
              <w:ind w:left="601"/>
              <w:jc w:val="left"/>
            </w:pPr>
            <w:r w:rsidRPr="00B509A2">
              <w:t>Periodic payments</w:t>
            </w:r>
          </w:p>
        </w:tc>
        <w:tc>
          <w:tcPr>
            <w:tcW w:w="2121" w:type="dxa"/>
          </w:tcPr>
          <w:p w14:paraId="4457279E" w14:textId="77777777" w:rsidR="00B509A2" w:rsidRPr="00B509A2" w:rsidRDefault="00B509A2" w:rsidP="00B509A2">
            <w:pPr>
              <w:jc w:val="left"/>
              <w:rPr>
                <w:rFonts w:asciiTheme="minorBidi" w:hAnsiTheme="minorBidi" w:cstheme="minorBidi"/>
              </w:rPr>
            </w:pPr>
          </w:p>
        </w:tc>
      </w:tr>
    </w:tbl>
    <w:p w14:paraId="267E74F3" w14:textId="6F4498BF" w:rsidR="00DC10FE" w:rsidRPr="00B509A2" w:rsidRDefault="00DC10FE" w:rsidP="00B509A2"/>
    <w:sectPr w:rsidR="00DC10FE" w:rsidRPr="00B509A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10935" w14:textId="77777777" w:rsidR="00EB7608" w:rsidRDefault="00EB7608">
      <w:r>
        <w:separator/>
      </w:r>
    </w:p>
    <w:p w14:paraId="3D9AEB87" w14:textId="77777777" w:rsidR="00EB7608" w:rsidRDefault="00EB7608"/>
  </w:endnote>
  <w:endnote w:type="continuationSeparator" w:id="0">
    <w:p w14:paraId="73240D12" w14:textId="77777777" w:rsidR="00EB7608" w:rsidRDefault="00EB7608">
      <w:r>
        <w:continuationSeparator/>
      </w:r>
    </w:p>
    <w:p w14:paraId="49166932" w14:textId="77777777" w:rsidR="00EB7608" w:rsidRDefault="00EB7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7462D9" w14:paraId="49819BC3" w14:textId="77777777" w:rsidTr="007462D9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49F5BB56" w14:textId="50346072" w:rsidR="007462D9" w:rsidRDefault="007462D9" w:rsidP="007462D9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EOM-KD0-TP-000006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F5ADF0D85161455882963F416A14B27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7320B9B7" w14:textId="77777777" w:rsidR="007462D9" w:rsidRDefault="007462D9" w:rsidP="007462D9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7462D9" w14:paraId="7EB65BFF" w14:textId="77777777" w:rsidTr="007462D9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0C417277" w14:textId="77777777" w:rsidR="007462D9" w:rsidRDefault="007462D9" w:rsidP="007462D9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45D104EA" w14:textId="77777777" w:rsidR="007462D9" w:rsidRDefault="007462D9" w:rsidP="007462D9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7462D9" w:rsidRDefault="009210BF" w:rsidP="00746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B4B3E" w14:textId="77777777" w:rsidR="00EB7608" w:rsidRDefault="00EB7608">
      <w:r>
        <w:separator/>
      </w:r>
    </w:p>
    <w:p w14:paraId="6422727F" w14:textId="77777777" w:rsidR="00EB7608" w:rsidRDefault="00EB7608"/>
  </w:footnote>
  <w:footnote w:type="continuationSeparator" w:id="0">
    <w:p w14:paraId="4F22C7CF" w14:textId="77777777" w:rsidR="00EB7608" w:rsidRDefault="00EB7608">
      <w:r>
        <w:continuationSeparator/>
      </w:r>
    </w:p>
    <w:p w14:paraId="04581D61" w14:textId="77777777" w:rsidR="00EB7608" w:rsidRDefault="00EB7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B0FD62F" w:rsidR="009210BF" w:rsidRDefault="006F4B9D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7A64693" wp14:editId="253D3ED2">
                <wp:simplePos x="0" y="0"/>
                <wp:positionH relativeFrom="column">
                  <wp:posOffset>-513080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87024A3" w:rsidR="009210BF" w:rsidRPr="006A25F8" w:rsidRDefault="00B509A2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509A2">
            <w:rPr>
              <w:kern w:val="32"/>
              <w:sz w:val="24"/>
              <w:szCs w:val="24"/>
              <w:lang w:val="en-GB"/>
            </w:rPr>
            <w:t>Checklist for Contract Conformance</w:t>
          </w:r>
        </w:p>
      </w:tc>
    </w:tr>
  </w:tbl>
  <w:p w14:paraId="0FE4F66F" w14:textId="3B35D3E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4B9D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2D9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3BFB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608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ADF0D85161455882963F416A14B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5504-E63B-4F5E-9430-06F8F353B220}"/>
      </w:docPartPr>
      <w:docPartBody>
        <w:p w:rsidR="00000000" w:rsidRDefault="0057216D" w:rsidP="0057216D">
          <w:pPr>
            <w:pStyle w:val="F5ADF0D85161455882963F416A14B274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6D"/>
    <w:rsid w:val="0057216D"/>
    <w:rsid w:val="00CD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16D"/>
  </w:style>
  <w:style w:type="paragraph" w:customStyle="1" w:styleId="F5ADF0D85161455882963F416A14B274">
    <w:name w:val="F5ADF0D85161455882963F416A14B274"/>
    <w:rsid w:val="00572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5E03C-BB2D-4349-B4DE-C4F53AE074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1958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EOM-KD0-TP-000006</dc:subject>
  <dc:creator>Rivamonte, Leonnito (RMP)</dc:creator>
  <cp:keywords>ᅟ</cp:keywords>
  <cp:lastModifiedBy>اسماء المطيري Asma Almutairi</cp:lastModifiedBy>
  <cp:revision>54</cp:revision>
  <cp:lastPrinted>2017-10-17T10:11:00Z</cp:lastPrinted>
  <dcterms:created xsi:type="dcterms:W3CDTF">2019-12-16T06:44:00Z</dcterms:created>
  <dcterms:modified xsi:type="dcterms:W3CDTF">2022-01-18T13:43:00Z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